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Beispiel für eine Begriffserklärung:</w:t>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9577"/>
        <w:gridCol w:w="4999"/>
      </w:tblGrid>
      <w:tr>
        <w:trPr>
          <w:cantSplit w:val="false"/>
        </w:trPr>
        <w:tc>
          <w:tcPr>
            <w:tcW w:w="9577" w:type="dxa"/>
            <w:tcBorders>
              <w:top w:val="nil"/>
              <w:left w:val="nil"/>
              <w:bottom w:val="nil"/>
              <w:insideH w:val="nil"/>
              <w:right w:val="nil"/>
              <w:insideV w:val="nil"/>
            </w:tcBorders>
            <w:shd w:fill="FFFFFF" w:val="clear"/>
          </w:tcPr>
          <w:p>
            <w:pPr>
              <w:pStyle w:val="Normal"/>
              <w:spacing w:lineRule="auto" w:line="312" w:before="0" w:after="113"/>
              <w:rPr>
                <w:rFonts w:cs="Arial Narrow" w:ascii="Arial Narrow" w:hAnsi="Arial Narrow"/>
                <w:color w:val="333333"/>
                <w:sz w:val="52"/>
                <w:szCs w:val="52"/>
              </w:rPr>
            </w:pPr>
            <w:r>
              <w:rPr>
                <w:rFonts w:cs="Arial Narrow" w:ascii="Arial Narrow" w:hAnsi="Arial Narrow"/>
                <w:color w:val="333333"/>
                <w:sz w:val="52"/>
                <w:szCs w:val="52"/>
              </w:rPr>
              <w:t>Feierabendziegel</w:t>
            </w:r>
          </w:p>
        </w:tc>
        <w:tc>
          <w:tcPr>
            <w:tcW w:w="4999" w:type="dxa"/>
            <w:tcBorders>
              <w:top w:val="nil"/>
              <w:left w:val="nil"/>
              <w:bottom w:val="nil"/>
              <w:insideH w:val="nil"/>
              <w:right w:val="nil"/>
              <w:insideV w:val="nil"/>
            </w:tcBorders>
            <w:shd w:fill="FFFFFF" w:val="clear"/>
          </w:tcPr>
          <w:p>
            <w:pPr>
              <w:pStyle w:val="Normal"/>
              <w:spacing w:lineRule="auto" w:line="312" w:before="0" w:after="113"/>
              <w:rPr>
                <w:rFonts w:eastAsia="Arial Unicode MS" w:cs="Arial Narrow" w:ascii="Arial Narrow" w:hAnsi="Arial Narrow"/>
                <w:color w:val="333333"/>
                <w:sz w:val="22"/>
                <w:szCs w:val="22"/>
                <w:lang w:val="de-DE" w:eastAsia="zh-CN" w:bidi="hi-IN"/>
              </w:rPr>
            </w:pPr>
            <w:r>
              <w:rPr>
                <w:rFonts w:eastAsia="Arial Unicode MS" w:cs="Arial Narrow" w:ascii="Arial Narrow" w:hAnsi="Arial Narrow"/>
                <w:color w:val="333333"/>
                <w:sz w:val="22"/>
                <w:szCs w:val="22"/>
                <w:lang w:val="de-DE" w:eastAsia="zh-CN" w:bidi="hi-IN"/>
              </w:rPr>
              <w:t>Rossner, Christiane: Was ist ein Feierabendziegel?</w:t>
              <w:br/>
              <w:t>In: MONUMENTE – Magazin für Denkmalkultur in</w:t>
              <w:br/>
              <w:t>Deutschland, 2015, Heft 1, S. 29</w:t>
            </w:r>
          </w:p>
        </w:tc>
      </w:tr>
      <w:tr>
        <w:trPr>
          <w:cantSplit w:val="false"/>
        </w:trPr>
        <w:tc>
          <w:tcPr>
            <w:tcW w:w="9577" w:type="dxa"/>
            <w:tcBorders>
              <w:top w:val="nil"/>
              <w:left w:val="nil"/>
              <w:bottom w:val="nil"/>
              <w:insideH w:val="nil"/>
              <w:right w:val="nil"/>
              <w:insideV w:val="nil"/>
            </w:tcBorders>
            <w:shd w:fill="FFFFFF" w:val="clear"/>
          </w:tcPr>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 xml:space="preserve">Feierabendziegel ist ein Sammelbegriff für Ziegel, die mit Inschriften, Zeichnungen und Symbolen versehen sind. </w:t>
              <w:br/>
              <w:t xml:space="preserve">Die Tradition der Verzierung ist so alt wie das Handwerk selbst. </w:t>
              <w:br/>
              <w:t>In Deutschland gilt als bislang ältestes erhaltenes Beispiel ein Dachziegel aus dem Jahr 1453, der in Bad Herrenalb in Württemberg gefunden wurde.</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 xml:space="preserve">Die Bezeichnung ist aus der Vorstellung entstanden, dass die hart arbeitenden Ziegler erst nach getaner Arbeit die Zeit fanden, Ziegel künstlerisch zu gestalten. So ritzten sie Dekore von einfachen Tierdarstellungen bis zu kunstvollen Szenen in die noch ungebrannte Tonmasse. Die Forschung fächert die Feierabendziegel heute in unterschiedliche Ziegeltypen auf: Schutzziegel, Inschriftenziegel und Zählziegel, wobei deren Bezeichnungen wiederum landschaftlich variieren. Bei den Schutzziegeln handelt es sich größtenteils um Dachziegel: </w:t>
              <w:br/>
              <w:t>Das schützende Dach eines Gebäudes sollte durch Symbole noch sicherer werden, so zum Beispiel mit Glücksbringernwie einer Sonne oder mit Unheil abwendenden wie dem Hahn, der vor Bränden bewahren sollte. Auf Inschriftenziegeln wurden Nachrichten gleich-sam als Dokumente hinterlassen: Es sind Notizen, Lohnberech-nungen und Sprüche zu lesen, wie etwa auf einem Exemplar aus Oberndorf an der Nahe: „wenn lieben eine Sünde währ, so währ sie nicht erschaffen, Friedrich Vollmer, Ziegler den 3. Juli 1833“. Mit sogenannten Heische-ziegeln forderten die Handwerker den Bauherrn zu Gaben auf, meist bei Richtfesten zu Trinkgeld: „ich mach den Ziegel hübsch und fein schieb auch gern ein Trengeld Ein“.</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Bis ins 19. Jahrhundert arbeiteten die Ziegler nur nach Auftrag und im Stücklohn. Damit war die Stückzahl der gestrichenen Ziegel maßgeblich, und entsprechende „Zählziegel“ wurden mit Zahlen, Buchstaben, Namenszügen oder Zeichnungen markiert. Die Arbeit der Ziegler war Teil eines festgefügten und saison-bedingten Ablaufs – Rohstoff</w:t>
              <w:softHyphen/>
              <w:t xml:space="preserve">gewinnung, Tonaufbereitung, Formgebung, Trocknung und Brand – und dauerte in der Regel 33 Wochen, vom 23. März bis 11. November. Im Zuge der Industrialisierung verwendete man bevorzugt Stempel, die weitere Informationen wie Firmenname, Auszeich-nungen und Herstellungsjahr festhielten, womit dieses Zeugnis </w:t>
              <w:br/>
              <w:t>der Volkskunst verschwand.</w:t>
            </w:r>
          </w:p>
        </w:tc>
        <w:tc>
          <w:tcPr>
            <w:tcW w:w="4999" w:type="dxa"/>
            <w:tcBorders>
              <w:top w:val="nil"/>
              <w:left w:val="nil"/>
              <w:bottom w:val="nil"/>
              <w:insideH w:val="nil"/>
              <w:right w:val="nil"/>
              <w:insideV w:val="nil"/>
            </w:tcBorders>
            <w:shd w:fill="FFFFFF" w:val="clear"/>
          </w:tcPr>
          <w:p>
            <w:pPr>
              <w:pStyle w:val="TabellenInhalt"/>
              <w:spacing w:lineRule="auto" w:line="312" w:before="0" w:after="113"/>
              <w:rPr>
                <w:rFonts w:eastAsia="Arial Unicode MS" w:cs="Arial Narrow" w:ascii="Arial Narrow" w:hAnsi="Arial Narrow"/>
                <w:color w:val="333333"/>
                <w:sz w:val="22"/>
                <w:szCs w:val="22"/>
                <w:lang w:val="de-DE" w:eastAsia="zh-CN" w:bidi="hi-IN"/>
              </w:rPr>
            </w:pPr>
            <w:r>
              <w:rPr>
                <w:rFonts w:eastAsia="Arial Unicode MS" w:cs="Arial Narrow" w:ascii="Arial Narrow" w:hAnsi="Arial Narrow"/>
                <w:color w:val="333333"/>
                <w:sz w:val="22"/>
                <w:szCs w:val="22"/>
                <w:lang w:val="de-DE" w:eastAsia="zh-CN" w:bidi="hi-IN"/>
              </w:rPr>
            </w:r>
          </w:p>
          <w:p>
            <w:pPr>
              <w:pStyle w:val="TabellenInhalt"/>
              <w:spacing w:lineRule="auto" w:line="312" w:before="0" w:after="113"/>
              <w:rPr>
                <w:rFonts w:eastAsia="Arial Unicode MS" w:cs="Arial Narrow" w:ascii="Arial Narrow" w:hAnsi="Arial Narrow"/>
                <w:color w:val="333333"/>
                <w:sz w:val="22"/>
                <w:szCs w:val="22"/>
                <w:lang w:val="de-DE" w:eastAsia="zh-CN" w:bidi="hi-IN"/>
              </w:rPr>
            </w:pPr>
            <w:r>
              <w:rPr>
                <w:rFonts w:eastAsia="Arial Unicode MS" w:cs="Arial Narrow" w:ascii="Arial Narrow" w:hAnsi="Arial Narrow"/>
                <w:color w:val="333333"/>
                <w:sz w:val="22"/>
                <w:szCs w:val="22"/>
                <w:lang w:val="de-DE" w:eastAsia="zh-CN" w:bidi="hi-IN"/>
              </w:rPr>
              <w:t>Begriffsinhalt (Beschreibung)</w:t>
              <w:br/>
              <w:t>Begriffsverwendung</w:t>
              <w:br/>
              <w:t>Begriffsursprung</w:t>
              <w:br/>
              <w:t>Etymologie, Begriffsanlass</w:t>
              <w:br/>
              <w:t>Begriffsumfang – „i.w.S.“</w:t>
              <w:br/>
              <w:t>Begriffsumfang – „i.e.S.“</w:t>
              <w:br/>
              <w:t>Begriffsgeschichte</w:t>
            </w:r>
          </w:p>
        </w:tc>
      </w:tr>
    </w:tbl>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Beispiel für eine Begriffserklärung:</w:t>
      </w:r>
    </w:p>
    <w:p>
      <w:pPr>
        <w:pStyle w:val="Normal"/>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9577"/>
        <w:gridCol w:w="4999"/>
      </w:tblGrid>
      <w:tr>
        <w:trPr>
          <w:cantSplit w:val="false"/>
        </w:trPr>
        <w:tc>
          <w:tcPr>
            <w:tcW w:w="9577" w:type="dxa"/>
            <w:tcBorders>
              <w:top w:val="nil"/>
              <w:left w:val="nil"/>
              <w:bottom w:val="nil"/>
              <w:insideH w:val="nil"/>
              <w:right w:val="nil"/>
              <w:insideV w:val="nil"/>
            </w:tcBorders>
            <w:shd w:fill="FFFFFF" w:val="clear"/>
          </w:tcPr>
          <w:p>
            <w:pPr>
              <w:pStyle w:val="Normal"/>
              <w:spacing w:lineRule="auto" w:line="312" w:before="0" w:after="113"/>
              <w:rPr>
                <w:rFonts w:eastAsia="Arial Unicode MS" w:cs="Arial Narrow" w:ascii="Arial Narrow" w:hAnsi="Arial Narrow"/>
                <w:color w:val="333333"/>
                <w:sz w:val="52"/>
                <w:szCs w:val="52"/>
                <w:lang w:val="de-DE" w:eastAsia="zh-CN" w:bidi="hi-IN"/>
              </w:rPr>
            </w:pPr>
            <w:r>
              <w:rPr>
                <w:rFonts w:eastAsia="Arial Unicode MS" w:cs="Arial Narrow" w:ascii="Arial Narrow" w:hAnsi="Arial Narrow"/>
                <w:color w:val="333333"/>
                <w:sz w:val="52"/>
                <w:szCs w:val="52"/>
                <w:lang w:val="de-DE" w:eastAsia="zh-CN" w:bidi="hi-IN"/>
              </w:rPr>
              <w:t>Arabeske</w:t>
            </w:r>
          </w:p>
        </w:tc>
        <w:tc>
          <w:tcPr>
            <w:tcW w:w="4999" w:type="dxa"/>
            <w:tcBorders>
              <w:top w:val="nil"/>
              <w:left w:val="nil"/>
              <w:bottom w:val="nil"/>
              <w:insideH w:val="nil"/>
              <w:right w:val="nil"/>
              <w:insideV w:val="nil"/>
            </w:tcBorders>
            <w:shd w:fill="FFFFFF" w:val="clear"/>
          </w:tcPr>
          <w:p>
            <w:pPr>
              <w:pStyle w:val="TabellenInhalt"/>
              <w:spacing w:lineRule="auto" w:line="312" w:before="0" w:after="113"/>
              <w:rPr>
                <w:rFonts w:eastAsia="Arial Unicode MS" w:cs="Arial Narrow" w:ascii="Arial Narrow" w:hAnsi="Arial Narrow"/>
                <w:color w:val="333333"/>
                <w:sz w:val="22"/>
                <w:szCs w:val="22"/>
                <w:lang w:val="de-DE" w:eastAsia="zh-CN" w:bidi="hi-IN"/>
              </w:rPr>
            </w:pPr>
            <w:r>
              <w:rPr>
                <w:rFonts w:eastAsia="Arial Unicode MS" w:cs="Arial Narrow" w:ascii="Arial Narrow" w:hAnsi="Arial Narrow"/>
                <w:color w:val="333333"/>
                <w:sz w:val="22"/>
                <w:szCs w:val="22"/>
                <w:lang w:val="de-DE" w:eastAsia="zh-CN" w:bidi="hi-IN"/>
              </w:rPr>
              <w:t>Ricker, Julia: Was ist eine Arabeske?</w:t>
              <w:br/>
              <w:t>In: MONUMENTE – Magazin für Denkmalkultur</w:t>
              <w:br/>
              <w:t>in Deutschland, 2015, Heft 2, S. 29</w:t>
            </w:r>
          </w:p>
        </w:tc>
      </w:tr>
      <w:tr>
        <w:trPr>
          <w:cantSplit w:val="false"/>
        </w:trPr>
        <w:tc>
          <w:tcPr>
            <w:tcW w:w="9577" w:type="dxa"/>
            <w:tcBorders>
              <w:top w:val="nil"/>
              <w:left w:val="nil"/>
              <w:bottom w:val="nil"/>
              <w:insideH w:val="nil"/>
              <w:right w:val="nil"/>
              <w:insideV w:val="nil"/>
            </w:tcBorders>
            <w:shd w:fill="FFFFFF" w:val="clear"/>
          </w:tcPr>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Die Arabeske ist ein schwingendes, zartes Rankenornament mit Blatt- oder Blütenmotiven. Symmetrien und Wiederholungen einzelner Stengel und Gabelblattranken ordnen das scheinbar freie Linienspiel. Als dekoratives Element findet sich die Arabeske im Kunsthandwerk und in der Architektur.</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In der Kunstgeschichte wird der Begriff unterschiedlich definiert und verwendet. Die Übergänge zur Groteske, die mit fantastischen Mischwesen und Architekturelementen besetzt sein kann, und zur Maureske, deren Blüten und Blätter abstraktere Formen annehmen, sind fließend.</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Ihren Ursprung hat die Arabeske – wie ihr Name schon andeutet – vermutlich in der islamischen Kunst des 13. Jahr</w:t>
              <w:softHyphen/>
              <w:t>hunderts, wo sich durchkreuzende Ranken Räumlichkeit erzeugen und von Schriftzeichen durchzogen sein können. Über das maurische Spanien, zum Beispiel die Nasridenpaläste der Alhambra, gelangt sie nach Europa. Ausgehend von Norditalien verbreitet sich die Arabeske seit dem frühen 16. Jahrhundert auch durch Musterbücher. Sie dienen als Vorlagen für Stickereien und Keramik. In der Buchkunst dieser Zeit tritt sie häufig als schmückender Rahmen oder Verzierung des Deckels auf.</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Im 18. Jahrhundert wird der Begriff Arabeske auch auf die bisher als Grotesken bezeichneten Ausschmückungen antiker Innenräume in Rom oder Pompeji übertragen sowie auf die von diesen inspirierten Fresken Raffaels in den Loggien des Vatikans.</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Die Arabeske gilt in der Kunst bis 1800 vor allem als dekoratives Beiwerk. Zu Beginn des 19. Jahrhunderts nimmt ihr Stellenwert zu. Nun ebenso als Terminus in der Literatur und Musik verwendet, erweitert sich ihre Bedeutung. Mit der romantischen Arabeske sprengen die Maler des  19. Jahrhunderts die klassische Trennung zwischen Bild und Rahmen. Sie setzen die Arabeske zur Interpretation des Dargestellten ein. Die den Rahmen, jetzt auch mit figürlichen Motiven, durchziehenden Ranken stehen im Bezug zum Innenbild, dessen Inhalt sie steigern, erklären und kommentieren können.</w:t>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Am Ende des Jahrunderts verliert die Arabeske wieder an Gewicht. Das ornamentale Motiv taucht fast nur noch als illustrativer Schmuck von Texten auf, während es im islamischen Kunstkreis nach wie vor ein tragendes Element ist.</w:t>
            </w:r>
          </w:p>
        </w:tc>
        <w:tc>
          <w:tcPr>
            <w:tcW w:w="4999" w:type="dxa"/>
            <w:tcBorders>
              <w:top w:val="nil"/>
              <w:left w:val="nil"/>
              <w:bottom w:val="nil"/>
              <w:insideH w:val="nil"/>
              <w:right w:val="nil"/>
              <w:insideV w:val="nil"/>
            </w:tcBorders>
            <w:shd w:fill="FFFFFF" w:val="clear"/>
          </w:tcPr>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r>
          </w:p>
          <w:p>
            <w:pPr>
              <w:pStyle w:val="TabellenInhalt"/>
              <w:spacing w:lineRule="auto" w:line="312" w:before="0" w:after="113"/>
              <w:rPr>
                <w:rFonts w:cs="Arial Narrow" w:ascii="Arial Narrow" w:hAnsi="Arial Narrow"/>
                <w:color w:val="333333"/>
                <w:sz w:val="22"/>
                <w:szCs w:val="22"/>
              </w:rPr>
            </w:pPr>
            <w:r>
              <w:rPr>
                <w:rFonts w:cs="Arial Narrow" w:ascii="Arial Narrow" w:hAnsi="Arial Narrow"/>
                <w:color w:val="333333"/>
                <w:sz w:val="22"/>
                <w:szCs w:val="22"/>
              </w:rPr>
              <w:t>Begriffsinhalt</w:t>
              <w:br/>
              <w:t>Begriffsverwendung, -verbreitung</w:t>
              <w:br/>
              <w:t>Etymologie</w:t>
              <w:br/>
              <w:t>Begriffsverbreitung</w:t>
              <w:br/>
              <w:t>Begriffswandlung</w:t>
              <w:br/>
              <w:t>Erweiterung des Begriffsinhalts</w:t>
            </w:r>
          </w:p>
        </w:tc>
      </w:tr>
    </w:tbl>
    <w:p>
      <w:pPr>
        <w:pStyle w:val="Normal"/>
        <w:spacing w:lineRule="auto" w:line="312" w:before="0" w:after="113"/>
        <w:rPr/>
      </w:pPr>
      <w:r>
        <w:rPr/>
      </w:r>
    </w:p>
    <w:sectPr>
      <w:type w:val="nextPage"/>
      <w:pgSz w:orient="landscape" w:w="16838" w:h="11906"/>
      <w:pgMar w:left="1134" w:right="1134"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55"/>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character" w:styleId="Internetlink">
    <w:name w:val="Internetlink"/>
    <w:rPr>
      <w:color w:val="000080"/>
      <w:u w:val="single"/>
      <w:lang w:val="zxx" w:eastAsia="zxx" w:bidi="zxx"/>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988304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2018-02-10T17:42:43Z</dcterms:created>
  <dc:language>de-DE</dc:language>
  <cp:lastPrinted>2018-02-10T22:35:00Z</cp:lastPrinted>
  <cp:revision>0</cp:revision>
</cp:coreProperties>
</file>